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A4BC0">
      <w:pPr>
        <w:keepNext w:val="0"/>
        <w:keepLines w:val="0"/>
        <w:widowControl/>
        <w:suppressLineNumbers w:val="0"/>
        <w:jc w:val="center"/>
        <w:rPr>
          <w:rFonts w:hint="eastAsia" w:ascii="宋体" w:hAnsi="宋体" w:eastAsia="宋体" w:cs="宋体"/>
          <w:sz w:val="28"/>
          <w:szCs w:val="28"/>
        </w:rPr>
      </w:pPr>
      <w:r>
        <w:rPr>
          <w:rFonts w:hint="eastAsia" w:ascii="宋体" w:hAnsi="宋体" w:eastAsia="宋体" w:cs="宋体"/>
          <w:b/>
          <w:bCs/>
          <w:spacing w:val="-10"/>
          <w:kern w:val="0"/>
          <w:sz w:val="28"/>
          <w:szCs w:val="28"/>
          <w:lang w:eastAsia="zh-CN"/>
        </w:rPr>
        <w:t>废旧600球墨铸铁管询价函</w:t>
      </w:r>
    </w:p>
    <w:p w14:paraId="693EB0B9">
      <w:pPr>
        <w:pStyle w:val="11"/>
        <w:jc w:val="both"/>
        <w:rPr>
          <w:rFonts w:hint="eastAsia" w:ascii="新宋体" w:hAnsi="新宋体" w:eastAsia="新宋体" w:cs="新宋体"/>
          <w:b/>
          <w:kern w:val="0"/>
          <w:sz w:val="21"/>
          <w:szCs w:val="21"/>
        </w:rPr>
      </w:pPr>
    </w:p>
    <w:p w14:paraId="36572C03">
      <w:pPr>
        <w:pStyle w:val="11"/>
        <w:numPr>
          <w:ilvl w:val="0"/>
          <w:numId w:val="1"/>
        </w:numPr>
        <w:jc w:val="both"/>
        <w:rPr>
          <w:rFonts w:hint="eastAsia" w:ascii="新宋体" w:hAnsi="新宋体" w:eastAsia="新宋体" w:cs="新宋体"/>
          <w:b/>
          <w:kern w:val="0"/>
          <w:sz w:val="21"/>
          <w:szCs w:val="21"/>
          <w:highlight w:val="none"/>
          <w:lang w:val="en-US" w:eastAsia="zh-CN"/>
        </w:rPr>
      </w:pPr>
      <w:r>
        <w:rPr>
          <w:rFonts w:hint="eastAsia" w:ascii="新宋体" w:hAnsi="新宋体" w:eastAsia="新宋体" w:cs="新宋体"/>
          <w:b/>
          <w:kern w:val="0"/>
          <w:sz w:val="24"/>
          <w:szCs w:val="24"/>
          <w:lang w:val="en-US" w:eastAsia="zh-CN"/>
        </w:rPr>
        <w:t>项目名称</w:t>
      </w:r>
      <w:r>
        <w:rPr>
          <w:rFonts w:hint="eastAsia" w:ascii="新宋体" w:hAnsi="新宋体" w:eastAsia="新宋体" w:cs="新宋体"/>
          <w:b/>
          <w:kern w:val="0"/>
          <w:sz w:val="21"/>
          <w:szCs w:val="21"/>
          <w:lang w:val="en-US" w:eastAsia="zh-CN"/>
        </w:rPr>
        <w:t>：</w:t>
      </w:r>
      <w:r>
        <w:rPr>
          <w:rFonts w:hint="eastAsia" w:ascii="宋体" w:hAnsi="宋体" w:eastAsia="宋体" w:cs="宋体"/>
          <w:b w:val="0"/>
          <w:color w:val="auto"/>
          <w:kern w:val="2"/>
          <w:sz w:val="24"/>
          <w:szCs w:val="24"/>
          <w:lang w:val="en-US" w:eastAsia="zh-CN" w:bidi="ar-SA"/>
        </w:rPr>
        <w:t>废旧600球墨铸铁管</w:t>
      </w:r>
    </w:p>
    <w:p w14:paraId="3DC2EACF">
      <w:pPr>
        <w:pStyle w:val="11"/>
        <w:numPr>
          <w:numId w:val="0"/>
        </w:numPr>
        <w:jc w:val="both"/>
        <w:rPr>
          <w:rFonts w:hint="eastAsia" w:ascii="新宋体" w:hAnsi="新宋体" w:eastAsia="新宋体" w:cs="新宋体"/>
          <w:b/>
          <w:kern w:val="0"/>
          <w:sz w:val="21"/>
          <w:szCs w:val="21"/>
          <w:highlight w:val="none"/>
          <w:lang w:val="en-US" w:eastAsia="zh-CN"/>
        </w:rPr>
      </w:pPr>
    </w:p>
    <w:p w14:paraId="10C322BD">
      <w:pPr>
        <w:pStyle w:val="11"/>
        <w:numPr>
          <w:ilvl w:val="0"/>
          <w:numId w:val="1"/>
        </w:numPr>
        <w:ind w:left="0" w:leftChars="0" w:firstLine="0" w:firstLine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4"/>
          <w:szCs w:val="24"/>
          <w:lang w:val="en-US" w:eastAsia="zh-CN"/>
        </w:rPr>
        <w:t>项目概括</w:t>
      </w:r>
      <w:r>
        <w:rPr>
          <w:rFonts w:hint="eastAsia" w:ascii="新宋体" w:hAnsi="新宋体" w:eastAsia="新宋体" w:cs="新宋体"/>
          <w:b/>
          <w:kern w:val="0"/>
          <w:sz w:val="21"/>
          <w:szCs w:val="21"/>
          <w:lang w:val="en-US" w:eastAsia="zh-CN"/>
        </w:rPr>
        <w:t>：</w:t>
      </w:r>
    </w:p>
    <w:p w14:paraId="4414E879">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（1）</w:t>
      </w:r>
      <w:r>
        <w:rPr>
          <w:rFonts w:hint="eastAsia" w:ascii="宋体" w:hAnsi="宋体" w:cs="宋体"/>
          <w:b w:val="0"/>
          <w:color w:val="auto"/>
          <w:kern w:val="2"/>
          <w:sz w:val="24"/>
          <w:szCs w:val="24"/>
          <w:lang w:val="en-US" w:eastAsia="zh-CN" w:bidi="ar-SA"/>
        </w:rPr>
        <w:t>主要内容：完成</w:t>
      </w:r>
      <w:r>
        <w:rPr>
          <w:rFonts w:hint="eastAsia" w:ascii="宋体" w:hAnsi="宋体" w:eastAsia="宋体" w:cs="宋体"/>
          <w:b w:val="0"/>
          <w:color w:val="auto"/>
          <w:kern w:val="2"/>
          <w:sz w:val="24"/>
          <w:szCs w:val="24"/>
          <w:lang w:val="en-US" w:eastAsia="zh-CN" w:bidi="ar-SA"/>
        </w:rPr>
        <w:t>废旧600球墨铸铁管</w:t>
      </w:r>
      <w:r>
        <w:rPr>
          <w:rFonts w:hint="eastAsia" w:ascii="宋体" w:hAnsi="宋体" w:cs="宋体"/>
          <w:b w:val="0"/>
          <w:color w:val="auto"/>
          <w:kern w:val="2"/>
          <w:sz w:val="24"/>
          <w:szCs w:val="24"/>
          <w:lang w:val="en-US" w:eastAsia="zh-CN" w:bidi="ar-SA"/>
        </w:rPr>
        <w:t>的回收</w:t>
      </w:r>
      <w:r>
        <w:rPr>
          <w:rFonts w:hint="eastAsia" w:ascii="宋体" w:hAnsi="宋体" w:eastAsia="宋体" w:cs="宋体"/>
          <w:b w:val="0"/>
          <w:color w:val="auto"/>
          <w:kern w:val="2"/>
          <w:sz w:val="24"/>
          <w:szCs w:val="24"/>
          <w:lang w:val="en-US" w:eastAsia="zh-CN" w:bidi="ar-SA"/>
        </w:rPr>
        <w:t>；</w:t>
      </w:r>
    </w:p>
    <w:p w14:paraId="782E85B3">
      <w:pPr>
        <w:keepNext w:val="0"/>
        <w:keepLines w:val="0"/>
        <w:pageBreakBefore w:val="0"/>
        <w:widowControl/>
        <w:kinsoku/>
        <w:wordWrap/>
        <w:overflowPunct/>
        <w:topLinePunct w:val="0"/>
        <w:autoSpaceDE/>
        <w:autoSpaceDN/>
        <w:bidi w:val="0"/>
        <w:adjustRightInd/>
        <w:snapToGrid/>
        <w:spacing w:line="590" w:lineRule="exact"/>
        <w:ind w:right="23"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sz w:val="24"/>
          <w:szCs w:val="24"/>
          <w:highlight w:val="none"/>
          <w:lang w:val="en-US" w:eastAsia="zh-CN"/>
        </w:rPr>
        <w:t>（2）最</w:t>
      </w:r>
      <w:r>
        <w:rPr>
          <w:rFonts w:hint="eastAsia" w:ascii="宋体" w:hAnsi="宋体" w:cs="宋体"/>
          <w:sz w:val="24"/>
          <w:szCs w:val="24"/>
          <w:highlight w:val="none"/>
          <w:lang w:val="en-US" w:eastAsia="zh-CN"/>
        </w:rPr>
        <w:t>低</w:t>
      </w:r>
      <w:r>
        <w:rPr>
          <w:rFonts w:hint="eastAsia" w:ascii="宋体" w:hAnsi="宋体" w:eastAsia="宋体" w:cs="宋体"/>
          <w:sz w:val="24"/>
          <w:szCs w:val="24"/>
          <w:highlight w:val="none"/>
          <w:lang w:val="en-US" w:eastAsia="zh-CN"/>
        </w:rPr>
        <w:t>限价：119070元包括完成招标标的装卸、税金等一切费用，投标报价高于或等于最低限价的为有效投标报价，投标报价低于最低限价的作无效投标处理。</w:t>
      </w:r>
    </w:p>
    <w:p w14:paraId="2E470768">
      <w:pPr>
        <w:keepNext w:val="0"/>
        <w:keepLines w:val="0"/>
        <w:pageBreakBefore w:val="0"/>
        <w:kinsoku/>
        <w:wordWrap/>
        <w:overflowPunct/>
        <w:topLinePunct w:val="0"/>
        <w:autoSpaceDE/>
        <w:autoSpaceDN/>
        <w:bidi w:val="0"/>
        <w:adjustRightInd/>
        <w:snapToGrid/>
        <w:spacing w:line="590" w:lineRule="exact"/>
        <w:ind w:firstLine="240" w:firstLineChars="100"/>
        <w:textAlignment w:val="auto"/>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（3）</w:t>
      </w:r>
      <w:r>
        <w:rPr>
          <w:rFonts w:hint="eastAsia" w:ascii="宋体" w:hAnsi="宋体" w:cs="宋体"/>
          <w:b w:val="0"/>
          <w:color w:val="auto"/>
          <w:kern w:val="2"/>
          <w:sz w:val="24"/>
          <w:szCs w:val="24"/>
          <w:lang w:val="en-US" w:eastAsia="zh-CN" w:bidi="ar-SA"/>
        </w:rPr>
        <w:t>服务周期</w:t>
      </w:r>
      <w:r>
        <w:rPr>
          <w:rFonts w:hint="eastAsia" w:ascii="宋体" w:hAnsi="宋体" w:eastAsia="宋体" w:cs="宋体"/>
          <w:b w:val="0"/>
          <w:color w:val="auto"/>
          <w:kern w:val="2"/>
          <w:sz w:val="24"/>
          <w:szCs w:val="24"/>
          <w:lang w:val="en-US" w:eastAsia="zh-CN" w:bidi="ar-SA"/>
        </w:rPr>
        <w:t>：</w:t>
      </w:r>
      <w:r>
        <w:rPr>
          <w:rFonts w:hint="eastAsia" w:ascii="宋体" w:hAnsi="宋体" w:cs="宋体"/>
          <w:b w:val="0"/>
          <w:color w:val="auto"/>
          <w:kern w:val="2"/>
          <w:sz w:val="24"/>
          <w:szCs w:val="24"/>
          <w:lang w:val="en-US" w:eastAsia="zh-CN" w:bidi="ar-SA"/>
        </w:rPr>
        <w:t>2天，具体回收时间以甲方通知为准，投标人须勘察现场；</w:t>
      </w:r>
    </w:p>
    <w:p w14:paraId="4249457C">
      <w:pPr>
        <w:pStyle w:val="12"/>
        <w:ind w:left="0" w:leftChars="0" w:firstLine="0" w:firstLineChars="0"/>
        <w:rPr>
          <w:rFonts w:hint="eastAsia" w:ascii="宋体" w:hAnsi="宋体" w:eastAsia="宋体" w:cs="宋体"/>
          <w:b/>
          <w:kern w:val="0"/>
          <w:sz w:val="24"/>
          <w:szCs w:val="24"/>
        </w:rPr>
      </w:pPr>
      <w:r>
        <w:rPr>
          <w:rFonts w:hint="eastAsia" w:ascii="宋体" w:hAnsi="宋体" w:eastAsia="宋体" w:cs="宋体"/>
          <w:b/>
          <w:kern w:val="0"/>
          <w:sz w:val="24"/>
          <w:szCs w:val="24"/>
        </w:rPr>
        <w:t>3、资格要求：</w:t>
      </w:r>
    </w:p>
    <w:p w14:paraId="3445C07B">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（1）供应商必须具有有效的营业执照</w:t>
      </w:r>
      <w:r>
        <w:rPr>
          <w:rFonts w:hint="eastAsia" w:ascii="宋体" w:hAnsi="宋体" w:eastAsia="宋体" w:cs="宋体"/>
          <w:sz w:val="24"/>
          <w:szCs w:val="24"/>
          <w:highlight w:val="none"/>
        </w:rPr>
        <w:t>或事业单位法人证书</w:t>
      </w:r>
      <w:r>
        <w:rPr>
          <w:rFonts w:hint="eastAsia" w:ascii="宋体" w:hAnsi="宋体" w:cs="宋体"/>
          <w:sz w:val="24"/>
          <w:szCs w:val="24"/>
          <w:highlight w:val="none"/>
          <w:lang w:eastAsia="zh-CN"/>
        </w:rPr>
        <w:t>；</w:t>
      </w:r>
    </w:p>
    <w:p w14:paraId="3C59D1F2">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（2）供应商本项目不接受联合体形式投标。</w:t>
      </w:r>
    </w:p>
    <w:p w14:paraId="37730F63">
      <w:pPr>
        <w:keepNext w:val="0"/>
        <w:keepLines w:val="0"/>
        <w:pageBreakBefore w:val="0"/>
        <w:widowControl/>
        <w:kinsoku/>
        <w:wordWrap/>
        <w:overflowPunct/>
        <w:topLinePunct w:val="0"/>
        <w:autoSpaceDE/>
        <w:autoSpaceDN/>
        <w:bidi w:val="0"/>
        <w:adjustRightInd/>
        <w:snapToGrid/>
        <w:spacing w:line="590" w:lineRule="exact"/>
        <w:ind w:right="23"/>
        <w:textAlignment w:val="auto"/>
        <w:rPr>
          <w:rFonts w:hint="eastAsia" w:ascii="宋体" w:hAnsi="宋体" w:eastAsia="宋体" w:cs="宋体"/>
          <w:sz w:val="24"/>
          <w:szCs w:val="24"/>
          <w:highlight w:val="none"/>
        </w:rPr>
      </w:pPr>
      <w:r>
        <w:rPr>
          <w:rFonts w:hint="eastAsia" w:ascii="宋体" w:hAnsi="宋体" w:cs="宋体"/>
          <w:b/>
          <w:kern w:val="0"/>
          <w:sz w:val="24"/>
          <w:szCs w:val="24"/>
          <w:lang w:val="en-US" w:eastAsia="zh-CN"/>
        </w:rPr>
        <w:t>4</w:t>
      </w:r>
      <w:r>
        <w:rPr>
          <w:rFonts w:hint="eastAsia" w:ascii="宋体" w:hAnsi="宋体" w:eastAsia="宋体" w:cs="宋体"/>
          <w:b/>
          <w:kern w:val="0"/>
          <w:sz w:val="24"/>
          <w:szCs w:val="24"/>
        </w:rPr>
        <w:t>、投标文件的递交</w:t>
      </w:r>
      <w:r>
        <w:rPr>
          <w:rFonts w:hint="eastAsia" w:ascii="宋体" w:hAnsi="宋体" w:eastAsia="宋体" w:cs="宋体"/>
          <w:b/>
          <w:kern w:val="0"/>
          <w:sz w:val="24"/>
          <w:szCs w:val="24"/>
          <w:lang w:val="en-US" w:eastAsia="zh-CN"/>
        </w:rPr>
        <w:t xml:space="preserve"> </w:t>
      </w:r>
    </w:p>
    <w:p w14:paraId="592ED8DA">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1、投标文件密封递交的截止时间（投标截止时间，下同）为202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年</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lang w:val="en-US" w:eastAsia="zh-CN"/>
        </w:rPr>
        <w:t>日</w:t>
      </w:r>
      <w:r>
        <w:rPr>
          <w:rFonts w:hint="eastAsia" w:ascii="宋体" w:hAnsi="宋体" w:cs="宋体"/>
          <w:sz w:val="24"/>
          <w:szCs w:val="24"/>
          <w:highlight w:val="none"/>
          <w:lang w:val="en-US" w:eastAsia="zh-CN"/>
        </w:rPr>
        <w:t>上</w:t>
      </w:r>
      <w:r>
        <w:rPr>
          <w:rFonts w:hint="eastAsia" w:ascii="宋体" w:hAnsi="宋体" w:eastAsia="宋体" w:cs="宋体"/>
          <w:sz w:val="24"/>
          <w:szCs w:val="24"/>
          <w:highlight w:val="none"/>
          <w:lang w:val="en-US" w:eastAsia="zh-CN"/>
        </w:rPr>
        <w:t>午</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00</w:t>
      </w:r>
      <w:r>
        <w:rPr>
          <w:rFonts w:hint="eastAsia" w:ascii="宋体" w:hAnsi="宋体" w:eastAsia="宋体" w:cs="宋体"/>
          <w:sz w:val="24"/>
          <w:szCs w:val="24"/>
          <w:highlight w:val="none"/>
          <w:lang w:val="en-US" w:eastAsia="zh-CN"/>
        </w:rPr>
        <w:t>前，投标单位需在此之前将投标文件邮寄或送达，逾期送达的不予接收。地点为：通州湾示范区政务中心向南300米，通州湾自来水公司三楼会议室。</w:t>
      </w:r>
      <w:r>
        <w:rPr>
          <w:rFonts w:hint="eastAsia" w:ascii="宋体" w:hAnsi="宋体" w:eastAsia="宋体" w:cs="宋体"/>
          <w:kern w:val="2"/>
          <w:sz w:val="24"/>
          <w:szCs w:val="24"/>
          <w:highlight w:val="none"/>
          <w:lang w:val="en-US" w:eastAsia="zh-CN" w:bidi="ar-SA"/>
        </w:rPr>
        <w:t>注：如为邮寄，须充分考虑邮件送达时间。</w:t>
      </w:r>
      <w:r>
        <w:rPr>
          <w:rFonts w:hint="eastAsia" w:ascii="宋体" w:hAnsi="宋体" w:eastAsia="宋体" w:cs="宋体"/>
          <w:sz w:val="24"/>
          <w:szCs w:val="24"/>
          <w:highlight w:val="none"/>
          <w:lang w:val="en-US" w:eastAsia="zh-CN"/>
        </w:rPr>
        <w:t xml:space="preserve">  </w:t>
      </w:r>
    </w:p>
    <w:p w14:paraId="6CB57FAB">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sz w:val="24"/>
          <w:szCs w:val="24"/>
          <w:highlight w:val="none"/>
          <w:lang w:val="en-US" w:eastAsia="zh-CN"/>
        </w:rPr>
      </w:pPr>
      <w:r>
        <w:rPr>
          <w:rFonts w:hint="eastAsia" w:ascii="宋体" w:hAnsi="宋体" w:cs="宋体"/>
          <w:b/>
          <w:kern w:val="0"/>
          <w:sz w:val="24"/>
          <w:szCs w:val="24"/>
          <w:lang w:val="en-US" w:eastAsia="zh-CN"/>
        </w:rPr>
        <w:t>5、投标保证金：</w:t>
      </w:r>
      <w:r>
        <w:rPr>
          <w:rFonts w:hint="eastAsia" w:ascii="宋体" w:hAnsi="宋体" w:eastAsia="宋体" w:cs="宋体"/>
          <w:sz w:val="24"/>
          <w:szCs w:val="24"/>
          <w:highlight w:val="none"/>
          <w:lang w:val="en-US" w:eastAsia="zh-CN"/>
        </w:rPr>
        <w:t xml:space="preserve">2000元，采用现金方式直接将投标保证金带至开标现场。                                              </w:t>
      </w:r>
    </w:p>
    <w:p w14:paraId="677AB9E9">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、评标办法：</w:t>
      </w:r>
      <w:r>
        <w:rPr>
          <w:rFonts w:hint="eastAsia" w:ascii="宋体" w:hAnsi="宋体" w:eastAsia="宋体" w:cs="宋体"/>
          <w:sz w:val="24"/>
          <w:szCs w:val="24"/>
          <w:highlight w:val="none"/>
          <w:lang w:val="en-US" w:eastAsia="zh-CN"/>
        </w:rPr>
        <w:t>最高价的</w:t>
      </w:r>
      <w:bookmarkStart w:id="0" w:name="_GoBack"/>
      <w:bookmarkEnd w:id="0"/>
      <w:r>
        <w:rPr>
          <w:rFonts w:hint="eastAsia" w:ascii="宋体" w:hAnsi="宋体" w:eastAsia="宋体" w:cs="宋体"/>
          <w:sz w:val="24"/>
          <w:szCs w:val="24"/>
          <w:highlight w:val="none"/>
          <w:lang w:val="en-US" w:eastAsia="zh-CN"/>
        </w:rPr>
        <w:t>为中标单位。</w:t>
      </w:r>
    </w:p>
    <w:p w14:paraId="355A2EA5">
      <w:pPr>
        <w:keepNext w:val="0"/>
        <w:keepLines w:val="0"/>
        <w:pageBreakBefore w:val="0"/>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highlight w:val="none"/>
          <w:lang w:val="en-US" w:eastAsia="zh-CN"/>
        </w:rPr>
      </w:pPr>
      <w:r>
        <w:rPr>
          <w:rFonts w:hint="eastAsia" w:ascii="宋体" w:hAnsi="宋体" w:eastAsia="宋体" w:cs="宋体"/>
          <w:b/>
          <w:kern w:val="0"/>
          <w:sz w:val="24"/>
          <w:szCs w:val="24"/>
          <w:highlight w:val="none"/>
          <w:lang w:val="en-US" w:eastAsia="zh-CN"/>
        </w:rPr>
        <w:t>7、确定方式：</w:t>
      </w:r>
    </w:p>
    <w:p w14:paraId="4AB8466C">
      <w:pPr>
        <w:keepNext w:val="0"/>
        <w:keepLines w:val="0"/>
        <w:pageBreakBefore w:val="0"/>
        <w:kinsoku/>
        <w:wordWrap/>
        <w:overflowPunct/>
        <w:topLinePunct w:val="0"/>
        <w:autoSpaceDE/>
        <w:autoSpaceDN/>
        <w:bidi w:val="0"/>
        <w:adjustRightInd/>
        <w:snapToGrid/>
        <w:spacing w:line="59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1、符合本项目资格要求的投标人须于202</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lang w:val="en-US" w:eastAsia="zh-CN"/>
        </w:rPr>
        <w:t>年</w:t>
      </w: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lang w:val="en-US" w:eastAsia="zh-CN"/>
        </w:rPr>
        <w:t>月</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lang w:val="en-US" w:eastAsia="zh-CN"/>
        </w:rPr>
        <w:t>日17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14:paraId="311409CA">
      <w:pPr>
        <w:keepNext w:val="0"/>
        <w:keepLines w:val="0"/>
        <w:pageBreakBefore w:val="0"/>
        <w:widowControl/>
        <w:kinsoku/>
        <w:wordWrap/>
        <w:overflowPunct/>
        <w:topLinePunct w:val="0"/>
        <w:autoSpaceDE/>
        <w:autoSpaceDN/>
        <w:bidi w:val="0"/>
        <w:adjustRightInd/>
        <w:snapToGrid/>
        <w:spacing w:line="590" w:lineRule="exact"/>
        <w:ind w:firstLine="482"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2、询价文件要求：</w:t>
      </w:r>
      <w:r>
        <w:rPr>
          <w:rFonts w:hint="eastAsia" w:ascii="宋体" w:hAnsi="宋体" w:eastAsia="宋体" w:cs="宋体"/>
          <w:color w:val="auto"/>
          <w:kern w:val="2"/>
          <w:sz w:val="24"/>
          <w:szCs w:val="24"/>
          <w:lang w:val="en-US" w:eastAsia="zh-CN" w:bidi="ar-SA"/>
        </w:rPr>
        <w:t>1、封面、2、询价响应投标函；3、授权委托书或法定代表人身份证明4、有效的企业法人营业执照（副本）复印件；</w:t>
      </w:r>
    </w:p>
    <w:p w14:paraId="1C8C55E0">
      <w:pPr>
        <w:spacing w:line="560" w:lineRule="exact"/>
        <w:ind w:firstLine="482" w:firstLineChars="200"/>
        <w:rPr>
          <w:rFonts w:hint="eastAsia" w:ascii="宋体" w:hAnsi="宋体" w:cs="宋体"/>
          <w:color w:val="auto"/>
          <w:kern w:val="2"/>
          <w:sz w:val="24"/>
          <w:szCs w:val="24"/>
          <w:highlight w:val="none"/>
          <w:lang w:val="en-US" w:eastAsia="zh-CN" w:bidi="ar-SA"/>
        </w:rPr>
      </w:pPr>
      <w:r>
        <w:rPr>
          <w:rFonts w:hint="eastAsia" w:ascii="宋体" w:hAnsi="宋体" w:eastAsia="宋体" w:cs="宋体"/>
          <w:b/>
          <w:bCs/>
          <w:color w:val="auto"/>
          <w:kern w:val="2"/>
          <w:sz w:val="24"/>
          <w:szCs w:val="24"/>
          <w:lang w:val="en-US" w:eastAsia="zh-CN" w:bidi="ar-SA"/>
        </w:rPr>
        <w:t>3、</w:t>
      </w:r>
      <w:r>
        <w:rPr>
          <w:rFonts w:hint="eastAsia" w:ascii="宋体" w:hAnsi="宋体" w:eastAsia="宋体" w:cs="宋体"/>
          <w:b/>
          <w:bCs/>
          <w:color w:val="auto"/>
          <w:kern w:val="2"/>
          <w:sz w:val="24"/>
          <w:szCs w:val="24"/>
          <w:highlight w:val="none"/>
          <w:lang w:val="en-US" w:eastAsia="zh-CN" w:bidi="ar-SA"/>
        </w:rPr>
        <w:t>付款方式</w:t>
      </w:r>
      <w:r>
        <w:rPr>
          <w:rFonts w:hint="eastAsia" w:ascii="宋体" w:hAnsi="宋体" w:eastAsia="宋体" w:cs="宋体"/>
          <w:color w:val="auto"/>
          <w:kern w:val="2"/>
          <w:sz w:val="24"/>
          <w:szCs w:val="24"/>
          <w:highlight w:val="none"/>
          <w:lang w:val="en-US" w:eastAsia="zh-CN" w:bidi="ar-SA"/>
        </w:rPr>
        <w:t>：</w:t>
      </w:r>
      <w:r>
        <w:rPr>
          <w:rFonts w:hint="eastAsia" w:ascii="宋体" w:hAnsi="宋体" w:eastAsia="宋体" w:cs="宋体"/>
          <w:b w:val="0"/>
          <w:color w:val="auto"/>
          <w:kern w:val="2"/>
          <w:sz w:val="24"/>
          <w:szCs w:val="24"/>
          <w:lang w:val="en-US" w:eastAsia="zh-CN" w:bidi="ar-SA"/>
        </w:rPr>
        <w:t>球墨铸铁管</w:t>
      </w:r>
      <w:r>
        <w:rPr>
          <w:rFonts w:hint="eastAsia" w:ascii="宋体" w:hAnsi="宋体" w:cs="宋体"/>
          <w:color w:val="auto"/>
          <w:kern w:val="2"/>
          <w:sz w:val="24"/>
          <w:szCs w:val="24"/>
          <w:highlight w:val="none"/>
          <w:lang w:val="en-US" w:eastAsia="zh-CN" w:bidi="ar-SA"/>
        </w:rPr>
        <w:t>回收前，一次性支付甲方全部合同价款后乙方方可进场回收，甲方在收到全额货款后将给乙方出具13%增值税发票。</w:t>
      </w:r>
    </w:p>
    <w:p w14:paraId="07DBC642">
      <w:pPr>
        <w:keepNext w:val="0"/>
        <w:keepLines w:val="0"/>
        <w:pageBreakBefore w:val="0"/>
        <w:widowControl/>
        <w:kinsoku/>
        <w:wordWrap/>
        <w:overflowPunct/>
        <w:topLinePunct w:val="0"/>
        <w:autoSpaceDE/>
        <w:autoSpaceDN/>
        <w:bidi w:val="0"/>
        <w:adjustRightInd/>
        <w:snapToGrid/>
        <w:spacing w:line="590" w:lineRule="exact"/>
        <w:textAlignment w:val="auto"/>
        <w:rPr>
          <w:rFonts w:hint="eastAsia" w:ascii="宋体" w:hAnsi="宋体" w:eastAsia="宋体" w:cs="宋体"/>
          <w:b/>
          <w:kern w:val="0"/>
          <w:sz w:val="24"/>
          <w:szCs w:val="24"/>
        </w:rPr>
      </w:pPr>
      <w:r>
        <w:rPr>
          <w:rFonts w:hint="eastAsia" w:ascii="宋体" w:hAnsi="宋体" w:eastAsia="宋体" w:cs="宋体"/>
          <w:b/>
          <w:kern w:val="0"/>
          <w:sz w:val="24"/>
          <w:szCs w:val="24"/>
          <w:lang w:val="en-US" w:eastAsia="zh-CN"/>
        </w:rPr>
        <w:t>8</w:t>
      </w:r>
      <w:r>
        <w:rPr>
          <w:rFonts w:hint="eastAsia" w:ascii="宋体" w:hAnsi="宋体" w:eastAsia="宋体" w:cs="宋体"/>
          <w:b/>
          <w:kern w:val="0"/>
          <w:sz w:val="24"/>
          <w:szCs w:val="24"/>
        </w:rPr>
        <w:t>、联系方式</w:t>
      </w:r>
    </w:p>
    <w:p w14:paraId="28F5B2C7">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招标单位名称：</w:t>
      </w:r>
      <w:r>
        <w:rPr>
          <w:rFonts w:hint="eastAsia" w:ascii="宋体" w:hAnsi="宋体" w:cs="宋体"/>
          <w:color w:val="auto"/>
          <w:kern w:val="2"/>
          <w:sz w:val="24"/>
          <w:szCs w:val="24"/>
          <w:lang w:val="en-US" w:eastAsia="zh-CN" w:bidi="ar-SA"/>
        </w:rPr>
        <w:t>江苏通州湾自来水有限公司</w:t>
      </w:r>
    </w:p>
    <w:p w14:paraId="7DB54E38">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地址：江苏省南通市通州湾江海联动开发示范区政务中心向南300米</w:t>
      </w:r>
    </w:p>
    <w:p w14:paraId="5829AAB7">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联系人：罗女士</w:t>
      </w:r>
    </w:p>
    <w:p w14:paraId="45E42B17">
      <w:pPr>
        <w:keepNext w:val="0"/>
        <w:keepLines w:val="0"/>
        <w:pageBreakBefore w:val="0"/>
        <w:widowControl/>
        <w:kinsoku/>
        <w:wordWrap/>
        <w:overflowPunct/>
        <w:topLinePunct w:val="0"/>
        <w:autoSpaceDE/>
        <w:autoSpaceDN/>
        <w:bidi w:val="0"/>
        <w:adjustRightInd/>
        <w:snapToGrid/>
        <w:spacing w:line="590" w:lineRule="exact"/>
        <w:ind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电话</w:t>
      </w:r>
      <w:r>
        <w:rPr>
          <w:rFonts w:hint="eastAsia" w:ascii="宋体" w:hAnsi="宋体" w:cs="宋体"/>
          <w:color w:val="auto"/>
          <w:kern w:val="2"/>
          <w:sz w:val="24"/>
          <w:szCs w:val="24"/>
          <w:lang w:val="en-US" w:eastAsia="zh-CN" w:bidi="ar-SA"/>
        </w:rPr>
        <w:t>：15051262800</w:t>
      </w:r>
      <w:r>
        <w:rPr>
          <w:rFonts w:hint="eastAsia" w:ascii="宋体" w:hAnsi="宋体" w:eastAsia="宋体" w:cs="宋体"/>
          <w:color w:val="auto"/>
          <w:kern w:val="2"/>
          <w:sz w:val="24"/>
          <w:szCs w:val="24"/>
          <w:lang w:val="en-US" w:eastAsia="zh-CN" w:bidi="ar-SA"/>
        </w:rPr>
        <w:t xml:space="preserve">                        </w:t>
      </w:r>
    </w:p>
    <w:p w14:paraId="05B7CE7D">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eastAsia" w:ascii="新宋体" w:hAnsi="新宋体" w:eastAsia="新宋体" w:cs="新宋体"/>
          <w:sz w:val="21"/>
          <w:szCs w:val="21"/>
          <w:lang w:val="en-US" w:eastAsia="zh-CN"/>
        </w:rPr>
      </w:pPr>
    </w:p>
    <w:p w14:paraId="1E6F94EE">
      <w:pPr>
        <w:keepNext w:val="0"/>
        <w:keepLines w:val="0"/>
        <w:pageBreakBefore w:val="0"/>
        <w:widowControl/>
        <w:kinsoku/>
        <w:wordWrap/>
        <w:overflowPunct/>
        <w:topLinePunct w:val="0"/>
        <w:autoSpaceDE/>
        <w:autoSpaceDN/>
        <w:bidi w:val="0"/>
        <w:adjustRightInd/>
        <w:snapToGrid/>
        <w:spacing w:line="590" w:lineRule="exact"/>
        <w:ind w:firstLine="6000" w:firstLineChars="2500"/>
        <w:textAlignment w:val="auto"/>
        <w:rPr>
          <w:rFonts w:hint="eastAsia" w:ascii="新宋体" w:hAnsi="新宋体" w:eastAsia="新宋体" w:cs="新宋体"/>
          <w:sz w:val="24"/>
          <w:szCs w:val="24"/>
          <w:highlight w:val="none"/>
          <w:lang w:val="en-US" w:eastAsia="zh-CN"/>
        </w:rPr>
      </w:pPr>
      <w:r>
        <w:rPr>
          <w:rFonts w:hint="eastAsia" w:ascii="新宋体" w:hAnsi="新宋体" w:eastAsia="新宋体" w:cs="新宋体"/>
          <w:sz w:val="24"/>
          <w:szCs w:val="24"/>
          <w:highlight w:val="none"/>
          <w:lang w:val="en-US" w:eastAsia="zh-CN"/>
        </w:rPr>
        <w:t xml:space="preserve"> </w:t>
      </w:r>
      <w:r>
        <w:rPr>
          <w:rFonts w:hint="eastAsia" w:ascii="新宋体" w:hAnsi="新宋体" w:eastAsia="新宋体" w:cs="新宋体"/>
          <w:sz w:val="24"/>
          <w:szCs w:val="24"/>
          <w:highlight w:val="none"/>
          <w:lang w:eastAsia="zh-CN"/>
        </w:rPr>
        <w:t>202</w:t>
      </w:r>
      <w:r>
        <w:rPr>
          <w:rFonts w:hint="eastAsia" w:ascii="新宋体" w:hAnsi="新宋体" w:eastAsia="新宋体" w:cs="新宋体"/>
          <w:sz w:val="24"/>
          <w:szCs w:val="24"/>
          <w:highlight w:val="none"/>
          <w:lang w:val="en-US" w:eastAsia="zh-CN"/>
        </w:rPr>
        <w:t>5</w:t>
      </w:r>
      <w:r>
        <w:rPr>
          <w:rFonts w:hint="eastAsia" w:ascii="新宋体" w:hAnsi="新宋体" w:eastAsia="新宋体" w:cs="新宋体"/>
          <w:sz w:val="24"/>
          <w:szCs w:val="24"/>
          <w:highlight w:val="none"/>
          <w:lang w:eastAsia="zh-CN"/>
        </w:rPr>
        <w:t>年</w:t>
      </w:r>
      <w:r>
        <w:rPr>
          <w:rFonts w:hint="eastAsia" w:ascii="新宋体" w:hAnsi="新宋体" w:eastAsia="新宋体" w:cs="新宋体"/>
          <w:sz w:val="24"/>
          <w:szCs w:val="24"/>
          <w:highlight w:val="none"/>
          <w:lang w:val="en-US" w:eastAsia="zh-CN"/>
        </w:rPr>
        <w:t xml:space="preserve"> 1</w:t>
      </w:r>
      <w:r>
        <w:rPr>
          <w:rFonts w:hint="eastAsia" w:ascii="新宋体" w:hAnsi="新宋体" w:eastAsia="新宋体" w:cs="新宋体"/>
          <w:sz w:val="24"/>
          <w:szCs w:val="24"/>
          <w:highlight w:val="none"/>
          <w:lang w:eastAsia="zh-CN"/>
        </w:rPr>
        <w:t>月</w:t>
      </w:r>
      <w:r>
        <w:rPr>
          <w:rFonts w:hint="eastAsia" w:ascii="新宋体" w:hAnsi="新宋体" w:eastAsia="新宋体" w:cs="新宋体"/>
          <w:sz w:val="24"/>
          <w:szCs w:val="24"/>
          <w:highlight w:val="none"/>
          <w:lang w:val="en-US" w:eastAsia="zh-CN"/>
        </w:rPr>
        <w:t>24日</w:t>
      </w:r>
    </w:p>
    <w:p w14:paraId="39A313CF">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eastAsia" w:ascii="新宋体" w:hAnsi="新宋体" w:eastAsia="新宋体" w:cs="新宋体"/>
          <w:sz w:val="21"/>
          <w:szCs w:val="21"/>
          <w:lang w:val="en-US" w:eastAsia="zh-CN"/>
        </w:rPr>
      </w:pPr>
    </w:p>
    <w:p w14:paraId="6C4AE64E">
      <w:pPr>
        <w:keepNext w:val="0"/>
        <w:keepLines w:val="0"/>
        <w:pageBreakBefore w:val="0"/>
        <w:widowControl/>
        <w:kinsoku/>
        <w:wordWrap/>
        <w:overflowPunct/>
        <w:topLinePunct w:val="0"/>
        <w:autoSpaceDE/>
        <w:autoSpaceDN/>
        <w:bidi w:val="0"/>
        <w:adjustRightInd/>
        <w:snapToGrid/>
        <w:spacing w:line="590" w:lineRule="exact"/>
        <w:ind w:firstLine="420" w:firstLineChars="200"/>
        <w:textAlignment w:val="auto"/>
        <w:rPr>
          <w:rFonts w:hint="eastAsia" w:ascii="新宋体" w:hAnsi="新宋体" w:eastAsia="新宋体" w:cs="新宋体"/>
          <w:sz w:val="21"/>
          <w:szCs w:val="21"/>
          <w:lang w:val="en-US" w:eastAsia="zh-CN"/>
        </w:rPr>
      </w:pPr>
    </w:p>
    <w:p w14:paraId="659F6916">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14:paraId="0F41EEE8">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14:paraId="696E366C">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14:paraId="2D8CE748">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新宋体" w:hAnsi="新宋体" w:eastAsia="新宋体" w:cs="新宋体"/>
          <w:sz w:val="21"/>
          <w:szCs w:val="21"/>
          <w:lang w:val="en-US" w:eastAsia="zh-CN"/>
        </w:rPr>
      </w:pPr>
    </w:p>
    <w:p w14:paraId="4D4CBEC3">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10714F6E">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5893BF39">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6D8649B3">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14:paraId="1F2E5281">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rPr>
      </w:pPr>
    </w:p>
    <w:p w14:paraId="2F39B2D9">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16EF53B0">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1B6B16F1">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737EFF93">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7F30B4F7">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14:paraId="057D015A">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36D4CC0B">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14:paraId="29A29213">
      <w:pPr>
        <w:keepNext w:val="0"/>
        <w:keepLines w:val="0"/>
        <w:pageBreakBefore w:val="0"/>
        <w:widowControl/>
        <w:kinsoku/>
        <w:wordWrap/>
        <w:overflowPunct/>
        <w:topLinePunct w:val="0"/>
        <w:autoSpaceDE/>
        <w:autoSpaceDN/>
        <w:bidi w:val="0"/>
        <w:adjustRightInd/>
        <w:snapToGrid/>
        <w:spacing w:line="400" w:lineRule="exact"/>
        <w:textAlignment w:val="auto"/>
        <w:rPr>
          <w:rFonts w:eastAsia="仿宋_GB2312"/>
          <w:b/>
          <w:bCs/>
          <w:sz w:val="28"/>
          <w:szCs w:val="28"/>
        </w:rPr>
      </w:pPr>
      <w:r>
        <w:rPr>
          <w:rFonts w:hint="eastAsia" w:eastAsia="仿宋_GB2312"/>
          <w:b/>
          <w:sz w:val="28"/>
          <w:szCs w:val="28"/>
          <w:lang w:val="en-US" w:eastAsia="zh-CN"/>
        </w:rPr>
        <w:t xml:space="preserve">附件：                </w:t>
      </w:r>
      <w:r>
        <w:rPr>
          <w:rFonts w:hint="eastAsia" w:eastAsia="仿宋_GB2312"/>
          <w:b/>
          <w:sz w:val="28"/>
          <w:szCs w:val="28"/>
        </w:rPr>
        <w:t>一、</w:t>
      </w:r>
      <w:r>
        <w:rPr>
          <w:rFonts w:hint="eastAsia" w:eastAsia="仿宋_GB2312"/>
          <w:b/>
          <w:bCs/>
          <w:sz w:val="28"/>
          <w:szCs w:val="28"/>
        </w:rPr>
        <w:t>询价响应投标函</w:t>
      </w:r>
    </w:p>
    <w:p w14:paraId="63D9F214">
      <w:pPr>
        <w:pStyle w:val="2"/>
        <w:rPr>
          <w:rFonts w:eastAsia="仿宋_GB2312"/>
        </w:rPr>
      </w:pPr>
    </w:p>
    <w:p w14:paraId="2D481D19">
      <w:pPr>
        <w:pStyle w:val="4"/>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14:paraId="40364D1D">
      <w:pPr>
        <w:pStyle w:val="4"/>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p w14:paraId="3D8E9BD7">
      <w:pPr>
        <w:pStyle w:val="4"/>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highlight w:val="none"/>
          <w:lang w:eastAsia="zh-CN"/>
        </w:rPr>
        <w:t>材料明细表</w:t>
      </w:r>
    </w:p>
    <w:tbl>
      <w:tblPr>
        <w:tblStyle w:val="13"/>
        <w:tblW w:w="8978"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2"/>
        <w:gridCol w:w="1716"/>
        <w:gridCol w:w="2089"/>
        <w:gridCol w:w="681"/>
        <w:gridCol w:w="916"/>
        <w:gridCol w:w="819"/>
        <w:gridCol w:w="966"/>
        <w:gridCol w:w="1169"/>
      </w:tblGrid>
      <w:tr w14:paraId="4306E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A003">
            <w:pPr>
              <w:keepNext w:val="0"/>
              <w:keepLines w:val="0"/>
              <w:widowControl/>
              <w:suppressLineNumbers w:val="0"/>
              <w:jc w:val="center"/>
              <w:textAlignment w:val="center"/>
              <w:rPr>
                <w:rFonts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序号</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7A43">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名称</w:t>
            </w:r>
          </w:p>
        </w:tc>
        <w:tc>
          <w:tcPr>
            <w:tcW w:w="20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6A09">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规格型号</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F4B18">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E6A46">
            <w:pPr>
              <w:keepNext w:val="0"/>
              <w:keepLines w:val="0"/>
              <w:widowControl/>
              <w:suppressLineNumbers w:val="0"/>
              <w:jc w:val="center"/>
              <w:textAlignment w:val="center"/>
              <w:rPr>
                <w:rFonts w:hint="default" w:ascii="新宋体" w:hAnsi="新宋体" w:eastAsia="新宋体" w:cs="新宋体"/>
                <w:b/>
                <w:bCs/>
                <w:i w:val="0"/>
                <w:iCs w:val="0"/>
                <w:color w:val="000000"/>
                <w:sz w:val="20"/>
                <w:szCs w:val="20"/>
                <w:u w:val="none"/>
                <w:lang w:val="en-US" w:eastAsia="zh-CN"/>
              </w:rPr>
            </w:pPr>
            <w:r>
              <w:rPr>
                <w:rFonts w:hint="eastAsia" w:ascii="新宋体" w:hAnsi="新宋体" w:eastAsia="新宋体" w:cs="新宋体"/>
                <w:b/>
                <w:bCs/>
                <w:i w:val="0"/>
                <w:iCs w:val="0"/>
                <w:color w:val="000000"/>
                <w:sz w:val="20"/>
                <w:szCs w:val="20"/>
                <w:u w:val="none"/>
                <w:lang w:val="en-US" w:eastAsia="zh-CN"/>
              </w:rPr>
              <w:t>数量</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33AE4">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限价（元）</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5B5A1">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单价（元）</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0A361">
            <w:pPr>
              <w:keepNext w:val="0"/>
              <w:keepLines w:val="0"/>
              <w:widowControl/>
              <w:suppressLineNumbers w:val="0"/>
              <w:jc w:val="center"/>
              <w:textAlignment w:val="center"/>
              <w:rPr>
                <w:rFonts w:hint="eastAsia" w:ascii="新宋体" w:hAnsi="新宋体" w:eastAsia="新宋体" w:cs="新宋体"/>
                <w:b/>
                <w:bCs/>
                <w:i w:val="0"/>
                <w:iCs w:val="0"/>
                <w:color w:val="000000"/>
                <w:sz w:val="20"/>
                <w:szCs w:val="20"/>
                <w:u w:val="none"/>
              </w:rPr>
            </w:pPr>
            <w:r>
              <w:rPr>
                <w:rFonts w:hint="eastAsia" w:ascii="新宋体" w:hAnsi="新宋体" w:eastAsia="新宋体" w:cs="新宋体"/>
                <w:b/>
                <w:bCs/>
                <w:i w:val="0"/>
                <w:iCs w:val="0"/>
                <w:color w:val="000000"/>
                <w:kern w:val="0"/>
                <w:sz w:val="20"/>
                <w:szCs w:val="20"/>
                <w:u w:val="none"/>
                <w:lang w:val="en-US" w:eastAsia="zh-CN" w:bidi="ar"/>
              </w:rPr>
              <w:t>金额（元）</w:t>
            </w:r>
          </w:p>
        </w:tc>
      </w:tr>
      <w:tr w14:paraId="03238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3B8F">
            <w:pPr>
              <w:keepNext w:val="0"/>
              <w:keepLines w:val="0"/>
              <w:widowControl/>
              <w:suppressLineNumbers w:val="0"/>
              <w:jc w:val="center"/>
              <w:textAlignment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2348B">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球墨铸铁管</w:t>
            </w:r>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414E">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600</w:t>
            </w: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845F1">
            <w:pPr>
              <w:jc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4"/>
                <w:szCs w:val="24"/>
                <w:u w:val="none"/>
                <w:lang w:val="en-US" w:eastAsia="zh-CN" w:bidi="ar"/>
              </w:rPr>
              <w:t>米</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7C054">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486</w:t>
            </w: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447A4">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245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89766">
            <w:pPr>
              <w:jc w:val="center"/>
              <w:rPr>
                <w:rFonts w:hint="eastAsia" w:ascii="宋体" w:hAnsi="宋体" w:eastAsia="宋体" w:cs="宋体"/>
                <w:i w:val="0"/>
                <w:iCs w:val="0"/>
                <w:color w:val="000000"/>
                <w:sz w:val="20"/>
                <w:szCs w:val="20"/>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BF6CD">
            <w:pPr>
              <w:jc w:val="center"/>
              <w:rPr>
                <w:rFonts w:hint="eastAsia" w:ascii="新宋体" w:hAnsi="新宋体" w:eastAsia="新宋体" w:cs="新宋体"/>
                <w:b/>
                <w:bCs/>
                <w:i w:val="0"/>
                <w:iCs w:val="0"/>
                <w:color w:val="000000"/>
                <w:sz w:val="20"/>
                <w:szCs w:val="20"/>
                <w:u w:val="none"/>
              </w:rPr>
            </w:pPr>
          </w:p>
        </w:tc>
      </w:tr>
      <w:tr w14:paraId="34BAB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615A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DF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0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D3B81">
            <w:pPr>
              <w:jc w:val="center"/>
              <w:rPr>
                <w:rFonts w:hint="eastAsia" w:ascii="宋体" w:hAnsi="宋体" w:eastAsia="宋体" w:cs="宋体"/>
                <w:i w:val="0"/>
                <w:iCs w:val="0"/>
                <w:color w:val="000000"/>
                <w:sz w:val="20"/>
                <w:szCs w:val="20"/>
                <w:u w:val="none"/>
              </w:rPr>
            </w:pPr>
          </w:p>
        </w:tc>
        <w:tc>
          <w:tcPr>
            <w:tcW w:w="6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6D725">
            <w:pPr>
              <w:jc w:val="center"/>
              <w:rPr>
                <w:rFonts w:hint="eastAsia" w:ascii="宋体" w:hAnsi="宋体" w:eastAsia="宋体" w:cs="宋体"/>
                <w:i w:val="0"/>
                <w:iCs w:val="0"/>
                <w:color w:val="000000"/>
                <w:sz w:val="20"/>
                <w:szCs w:val="20"/>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C7FA0">
            <w:pPr>
              <w:jc w:val="center"/>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B55E5">
            <w:pPr>
              <w:jc w:val="center"/>
              <w:rPr>
                <w:rFonts w:hint="eastAsia" w:ascii="宋体" w:hAnsi="宋体" w:eastAsia="宋体" w:cs="宋体"/>
                <w:i w:val="0"/>
                <w:iCs w:val="0"/>
                <w:color w:val="000000"/>
                <w:sz w:val="20"/>
                <w:szCs w:val="20"/>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C1630">
            <w:pPr>
              <w:jc w:val="center"/>
              <w:rPr>
                <w:rFonts w:hint="eastAsia" w:ascii="宋体" w:hAnsi="宋体" w:eastAsia="宋体" w:cs="宋体"/>
                <w:i w:val="0"/>
                <w:iCs w:val="0"/>
                <w:color w:val="000000"/>
                <w:sz w:val="20"/>
                <w:szCs w:val="20"/>
                <w:u w:val="none"/>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3E759">
            <w:pPr>
              <w:jc w:val="center"/>
              <w:rPr>
                <w:rFonts w:hint="eastAsia" w:ascii="新宋体" w:hAnsi="新宋体" w:eastAsia="新宋体" w:cs="新宋体"/>
                <w:b/>
                <w:bCs/>
                <w:i w:val="0"/>
                <w:iCs w:val="0"/>
                <w:color w:val="000000"/>
                <w:sz w:val="20"/>
                <w:szCs w:val="20"/>
                <w:u w:val="none"/>
              </w:rPr>
            </w:pPr>
          </w:p>
        </w:tc>
      </w:tr>
    </w:tbl>
    <w:p w14:paraId="6E09FA2B">
      <w:pPr>
        <w:pStyle w:val="4"/>
        <w:numPr>
          <w:ilvl w:val="0"/>
          <w:numId w:val="0"/>
        </w:numPr>
        <w:spacing w:line="360" w:lineRule="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数量按时结算</w:t>
      </w:r>
    </w:p>
    <w:p w14:paraId="23DF7F52">
      <w:pPr>
        <w:pStyle w:val="4"/>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14:paraId="75D18429">
      <w:pPr>
        <w:pStyle w:val="4"/>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14:paraId="63C1F36A">
      <w:pPr>
        <w:pStyle w:val="4"/>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14:paraId="15359AAB">
      <w:pPr>
        <w:pStyle w:val="4"/>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14:paraId="2A0F1C9E">
      <w:pPr>
        <w:spacing w:line="400" w:lineRule="exact"/>
        <w:rPr>
          <w:rFonts w:hint="eastAsia" w:ascii="黑体" w:hAnsi="黑体" w:eastAsia="黑体" w:cs="黑体"/>
          <w:sz w:val="28"/>
          <w:szCs w:val="28"/>
          <w:highlight w:val="none"/>
        </w:rPr>
      </w:pPr>
      <w:r>
        <w:rPr>
          <w:rFonts w:hint="eastAsia" w:ascii="仿宋_GB2312" w:hAnsi="仿宋_GB2312" w:eastAsia="仿宋_GB2312" w:cs="仿宋_GB2312"/>
          <w:sz w:val="28"/>
          <w:szCs w:val="28"/>
        </w:rPr>
        <w:t>日期：     年    月    日</w:t>
      </w:r>
    </w:p>
    <w:p w14:paraId="65A7A75F">
      <w:pPr>
        <w:spacing w:line="400" w:lineRule="exact"/>
        <w:ind w:firstLine="1960" w:firstLineChars="700"/>
        <w:rPr>
          <w:rFonts w:hint="eastAsia" w:ascii="黑体" w:hAnsi="黑体" w:eastAsia="黑体" w:cs="黑体"/>
          <w:sz w:val="28"/>
          <w:szCs w:val="28"/>
          <w:highlight w:val="none"/>
        </w:rPr>
      </w:pPr>
    </w:p>
    <w:p w14:paraId="136D9200">
      <w:pPr>
        <w:spacing w:line="400" w:lineRule="exact"/>
        <w:ind w:firstLine="1960" w:firstLineChars="700"/>
        <w:rPr>
          <w:rFonts w:hint="eastAsia" w:ascii="黑体" w:hAnsi="黑体" w:eastAsia="黑体" w:cs="黑体"/>
          <w:sz w:val="28"/>
          <w:szCs w:val="28"/>
          <w:highlight w:val="none"/>
        </w:rPr>
      </w:pPr>
    </w:p>
    <w:p w14:paraId="56415755">
      <w:pPr>
        <w:spacing w:line="400" w:lineRule="exact"/>
        <w:ind w:firstLine="1960" w:firstLineChars="700"/>
        <w:rPr>
          <w:rFonts w:hint="eastAsia" w:ascii="黑体" w:hAnsi="黑体" w:eastAsia="黑体" w:cs="黑体"/>
          <w:sz w:val="28"/>
          <w:szCs w:val="28"/>
          <w:highlight w:val="none"/>
        </w:rPr>
      </w:pPr>
    </w:p>
    <w:p w14:paraId="5F455066">
      <w:pPr>
        <w:spacing w:line="400" w:lineRule="exact"/>
        <w:ind w:firstLine="1960" w:firstLineChars="700"/>
        <w:rPr>
          <w:rFonts w:hint="eastAsia" w:ascii="黑体" w:hAnsi="黑体" w:eastAsia="黑体" w:cs="黑体"/>
          <w:sz w:val="28"/>
          <w:szCs w:val="28"/>
          <w:highlight w:val="none"/>
        </w:rPr>
      </w:pPr>
    </w:p>
    <w:p w14:paraId="69812499">
      <w:pPr>
        <w:spacing w:line="400" w:lineRule="exact"/>
        <w:ind w:firstLine="1960" w:firstLineChars="700"/>
        <w:rPr>
          <w:rFonts w:hint="eastAsia" w:ascii="黑体" w:hAnsi="黑体" w:eastAsia="黑体" w:cs="黑体"/>
          <w:sz w:val="28"/>
          <w:szCs w:val="28"/>
          <w:highlight w:val="none"/>
        </w:rPr>
      </w:pPr>
    </w:p>
    <w:p w14:paraId="48A47586">
      <w:pPr>
        <w:spacing w:line="400" w:lineRule="exact"/>
        <w:ind w:firstLine="1960" w:firstLineChars="700"/>
        <w:rPr>
          <w:rFonts w:hint="eastAsia" w:ascii="黑体" w:hAnsi="黑体" w:eastAsia="黑体" w:cs="黑体"/>
          <w:sz w:val="28"/>
          <w:szCs w:val="28"/>
          <w:highlight w:val="none"/>
        </w:rPr>
      </w:pPr>
    </w:p>
    <w:p w14:paraId="3E5490CA">
      <w:pPr>
        <w:spacing w:line="400" w:lineRule="exact"/>
        <w:rPr>
          <w:rFonts w:hint="eastAsia" w:ascii="黑体" w:hAnsi="黑体" w:eastAsia="黑体" w:cs="黑体"/>
          <w:sz w:val="28"/>
          <w:szCs w:val="28"/>
          <w:highlight w:val="none"/>
        </w:rPr>
      </w:pPr>
    </w:p>
    <w:p w14:paraId="6E8112CC">
      <w:pPr>
        <w:spacing w:line="400" w:lineRule="exact"/>
        <w:ind w:firstLine="1960" w:firstLineChars="700"/>
        <w:rPr>
          <w:rFonts w:hint="eastAsia" w:ascii="黑体" w:hAnsi="黑体" w:eastAsia="黑体" w:cs="黑体"/>
          <w:sz w:val="28"/>
          <w:szCs w:val="28"/>
          <w:highlight w:val="none"/>
        </w:rPr>
      </w:pPr>
    </w:p>
    <w:p w14:paraId="02F0C217">
      <w:pPr>
        <w:spacing w:line="400" w:lineRule="exact"/>
        <w:ind w:firstLine="1960" w:firstLineChars="700"/>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14:paraId="2F18A29D">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14:paraId="579D6C92">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14:paraId="7A58AB46">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14:paraId="36922665">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14:paraId="2CF0D91A">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14:paraId="123A93B9">
      <w:pPr>
        <w:spacing w:line="360" w:lineRule="auto"/>
        <w:ind w:firstLine="560" w:firstLineChars="200"/>
        <w:rPr>
          <w:rFonts w:hint="eastAsia" w:ascii="仿宋_GB2312" w:hAnsi="仿宋_GB2312" w:eastAsia="仿宋_GB2312" w:cs="仿宋_GB2312"/>
          <w:sz w:val="28"/>
          <w:szCs w:val="28"/>
          <w:highlight w:val="none"/>
        </w:rPr>
      </w:pPr>
    </w:p>
    <w:p w14:paraId="0162535E">
      <w:pPr>
        <w:spacing w:line="360" w:lineRule="auto"/>
        <w:rPr>
          <w:rFonts w:hint="eastAsia" w:ascii="仿宋_GB2312" w:hAnsi="仿宋_GB2312" w:eastAsia="仿宋_GB2312" w:cs="仿宋_GB2312"/>
          <w:sz w:val="28"/>
          <w:szCs w:val="28"/>
          <w:highlight w:val="none"/>
        </w:rPr>
      </w:pPr>
    </w:p>
    <w:p w14:paraId="751CEF5D">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14:paraId="48B9A9A2">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14:paraId="1AA5EE33">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14:paraId="077B00A6">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14:paraId="00C37E55">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14:paraId="373EF868">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14:paraId="300BBD63">
      <w:pPr>
        <w:spacing w:line="440" w:lineRule="exact"/>
        <w:rPr>
          <w:rFonts w:hint="eastAsia" w:ascii="仿宋_GB2312" w:hAnsi="仿宋_GB2312" w:eastAsia="仿宋_GB2312" w:cs="仿宋_GB2312"/>
          <w:sz w:val="28"/>
          <w:szCs w:val="28"/>
          <w:highlight w:val="none"/>
        </w:rPr>
      </w:pPr>
    </w:p>
    <w:p w14:paraId="49F57567">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14:paraId="63864F46">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14:paraId="7047B58A">
      <w:pPr>
        <w:pStyle w:val="22"/>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61A00B3D">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14:paraId="1DA661F6">
      <w:pPr>
        <w:topLinePunct/>
        <w:rPr>
          <w:sz w:val="28"/>
          <w:szCs w:val="28"/>
          <w:highlight w:val="none"/>
        </w:rPr>
      </w:pPr>
    </w:p>
    <w:p w14:paraId="662BEAE5">
      <w:pPr>
        <w:topLinePunct/>
        <w:rPr>
          <w:sz w:val="24"/>
          <w:szCs w:val="24"/>
          <w:highlight w:val="none"/>
        </w:rPr>
      </w:pPr>
    </w:p>
    <w:p w14:paraId="289F4746">
      <w:pPr>
        <w:topLinePunct/>
        <w:rPr>
          <w:sz w:val="24"/>
          <w:szCs w:val="24"/>
          <w:highlight w:val="none"/>
          <w:u w:val="single"/>
        </w:rPr>
      </w:pPr>
      <w:r>
        <w:rPr>
          <w:sz w:val="24"/>
          <w:szCs w:val="24"/>
          <w:highlight w:val="none"/>
        </w:rPr>
        <w:t>投标人名称：</w:t>
      </w:r>
      <w:r>
        <w:rPr>
          <w:sz w:val="24"/>
          <w:szCs w:val="24"/>
          <w:highlight w:val="none"/>
          <w:u w:val="single"/>
        </w:rPr>
        <w:t xml:space="preserve">               </w:t>
      </w:r>
    </w:p>
    <w:p w14:paraId="1A07FA68">
      <w:pPr>
        <w:topLinePunct/>
        <w:rPr>
          <w:sz w:val="24"/>
          <w:szCs w:val="24"/>
          <w:highlight w:val="none"/>
        </w:rPr>
      </w:pPr>
    </w:p>
    <w:p w14:paraId="2472D110">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14:paraId="0DA99B13">
      <w:pPr>
        <w:topLinePunct/>
        <w:rPr>
          <w:sz w:val="24"/>
          <w:szCs w:val="24"/>
          <w:highlight w:val="none"/>
        </w:rPr>
      </w:pPr>
    </w:p>
    <w:p w14:paraId="74EEA8B4">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14:paraId="1FA9459C">
      <w:pPr>
        <w:topLinePunct/>
        <w:rPr>
          <w:sz w:val="24"/>
          <w:szCs w:val="24"/>
          <w:highlight w:val="none"/>
        </w:rPr>
      </w:pPr>
    </w:p>
    <w:p w14:paraId="6AD96A1D">
      <w:pPr>
        <w:topLinePunct/>
        <w:rPr>
          <w:sz w:val="24"/>
          <w:szCs w:val="24"/>
          <w:highlight w:val="none"/>
        </w:rPr>
      </w:pPr>
      <w:r>
        <w:rPr>
          <w:sz w:val="24"/>
          <w:szCs w:val="24"/>
          <w:highlight w:val="none"/>
        </w:rPr>
        <w:t>特此证明。</w:t>
      </w:r>
    </w:p>
    <w:p w14:paraId="358BE694">
      <w:pPr>
        <w:topLinePunct/>
        <w:rPr>
          <w:sz w:val="24"/>
          <w:szCs w:val="24"/>
          <w:highlight w:val="none"/>
        </w:rPr>
      </w:pPr>
    </w:p>
    <w:p w14:paraId="06661C63">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14:paraId="04084027">
      <w:pPr>
        <w:topLinePunct/>
        <w:rPr>
          <w:sz w:val="24"/>
          <w:szCs w:val="24"/>
          <w:highlight w:val="none"/>
        </w:rPr>
      </w:pPr>
    </w:p>
    <w:p w14:paraId="2754B5B9">
      <w:pPr>
        <w:topLinePunct/>
        <w:rPr>
          <w:sz w:val="24"/>
          <w:szCs w:val="24"/>
          <w:highlight w:val="none"/>
        </w:rPr>
      </w:pPr>
    </w:p>
    <w:p w14:paraId="2E595BD4">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14:paraId="74F08C55">
      <w:pPr>
        <w:topLinePunct/>
        <w:rPr>
          <w:sz w:val="24"/>
          <w:szCs w:val="24"/>
          <w:highlight w:val="none"/>
        </w:rPr>
      </w:pPr>
    </w:p>
    <w:p w14:paraId="578EB3D6">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14:paraId="5B0B6A91">
      <w:pPr>
        <w:topLinePunct/>
        <w:rPr>
          <w:sz w:val="24"/>
          <w:szCs w:val="24"/>
          <w:highlight w:val="none"/>
        </w:rPr>
      </w:pPr>
    </w:p>
    <w:p w14:paraId="22C0E126">
      <w:pPr>
        <w:topLinePunct/>
        <w:rPr>
          <w:sz w:val="24"/>
          <w:szCs w:val="24"/>
          <w:highlight w:val="none"/>
        </w:rPr>
      </w:pPr>
    </w:p>
    <w:p w14:paraId="23CAFE3A">
      <w:pPr>
        <w:topLinePunct/>
        <w:rPr>
          <w:sz w:val="24"/>
          <w:szCs w:val="24"/>
          <w:highlight w:val="none"/>
        </w:rPr>
      </w:pPr>
    </w:p>
    <w:p w14:paraId="57B26D59">
      <w:pPr>
        <w:rPr>
          <w:b/>
          <w:bCs/>
          <w:sz w:val="24"/>
          <w:szCs w:val="24"/>
          <w:highlight w:val="none"/>
        </w:rPr>
      </w:pPr>
    </w:p>
    <w:p w14:paraId="054BF0B7">
      <w:pPr>
        <w:spacing w:before="120" w:beforeLines="50" w:after="120" w:afterLines="50"/>
        <w:jc w:val="center"/>
        <w:rPr>
          <w:b/>
          <w:bCs/>
          <w:sz w:val="24"/>
          <w:szCs w:val="24"/>
          <w:highlight w:val="none"/>
        </w:rPr>
      </w:pPr>
    </w:p>
    <w:p w14:paraId="7282FC3B">
      <w:pPr>
        <w:spacing w:before="120" w:beforeLines="50" w:after="120" w:afterLines="50"/>
        <w:jc w:val="center"/>
        <w:rPr>
          <w:b/>
          <w:bCs/>
          <w:sz w:val="24"/>
          <w:szCs w:val="24"/>
          <w:highlight w:val="none"/>
        </w:rPr>
      </w:pPr>
    </w:p>
    <w:p w14:paraId="55BB1618">
      <w:pPr>
        <w:spacing w:before="120" w:beforeLines="50" w:after="120" w:afterLines="50"/>
        <w:jc w:val="center"/>
        <w:rPr>
          <w:b/>
          <w:bCs/>
          <w:sz w:val="24"/>
          <w:szCs w:val="24"/>
          <w:highlight w:val="none"/>
        </w:rPr>
      </w:pPr>
    </w:p>
    <w:p w14:paraId="63604877">
      <w:pPr>
        <w:spacing w:before="120" w:beforeLines="50" w:after="120" w:afterLines="50"/>
        <w:jc w:val="both"/>
        <w:rPr>
          <w:rFonts w:hint="eastAsia" w:eastAsia="黑体"/>
          <w:b/>
          <w:bCs/>
          <w:sz w:val="24"/>
          <w:szCs w:val="24"/>
          <w:highlight w:val="none"/>
          <w:lang w:val="en-US" w:eastAsia="zh-CN"/>
        </w:rPr>
      </w:pPr>
    </w:p>
    <w:p w14:paraId="284B69EA">
      <w:pPr>
        <w:spacing w:before="120" w:beforeLines="50" w:after="120" w:afterLines="50"/>
        <w:jc w:val="center"/>
        <w:rPr>
          <w:rFonts w:eastAsia="黑体"/>
          <w:b/>
          <w:bCs/>
          <w:sz w:val="24"/>
          <w:szCs w:val="24"/>
          <w:highlight w:val="none"/>
        </w:rPr>
      </w:pPr>
    </w:p>
    <w:p w14:paraId="2ED6D161">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14:paraId="0BF0F1E0">
      <w:pPr>
        <w:widowControl/>
        <w:jc w:val="left"/>
        <w:rPr>
          <w:rFonts w:eastAsia="仿宋_GB2312"/>
          <w:highlight w:val="none"/>
        </w:rPr>
      </w:pPr>
    </w:p>
    <w:p w14:paraId="392EED9B">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